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5B08" w14:textId="4982636F" w:rsidR="00F257D2" w:rsidRPr="00F257D2" w:rsidRDefault="00F257D2" w:rsidP="00F257D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01F1E"/>
          <w:bdr w:val="none" w:sz="0" w:space="0" w:color="auto" w:frame="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01F1E"/>
          <w:bdr w:val="none" w:sz="0" w:space="0" w:color="auto" w:frame="1"/>
        </w:rPr>
        <w:t>Suggestions for Increasing Parent Survey Response</w:t>
      </w:r>
    </w:p>
    <w:p w14:paraId="2A50C7E0" w14:textId="77777777" w:rsidR="00F257D2" w:rsidRDefault="00F257D2" w:rsidP="00F257D2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</w:rPr>
      </w:pPr>
    </w:p>
    <w:p w14:paraId="072D460F" w14:textId="49B3D254" w:rsidR="00F257D2" w:rsidRPr="00F257D2" w:rsidRDefault="00F257D2" w:rsidP="00A3618C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201F1E"/>
          <w:bdr w:val="none" w:sz="0" w:space="0" w:color="auto" w:frame="1"/>
        </w:rPr>
        <w:t>P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arent input is an important and valued part of the 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Compliance and Improvement Monitoring (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CIM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)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process. 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The California Department of Education (CDE)</w:t>
      </w:r>
      <w:r w:rsidR="00DA2C4C"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appreciate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s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your efforts to reach as many parents of students with disabilities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(SWD)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as possible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. A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20% return response rate is 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the</w:t>
      </w:r>
      <w:r w:rsidR="00DA2C4C"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goal. </w:t>
      </w:r>
    </w:p>
    <w:p w14:paraId="6E34D341" w14:textId="2DFD1101" w:rsidR="00F257D2" w:rsidRPr="00F257D2" w:rsidRDefault="00F257D2" w:rsidP="00A3618C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All LEAs in 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I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ntensive Levels 1, 2, and 3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, and applicable Local Educational Agencies (LEAs) in Targeted Levels 1, 2, and 3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will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distribute information to enable all parents of 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SWD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receiving special education services with your LEA the opportunity to participate in the 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P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arent 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S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urvey. Both online and PDF versions of the survey can be found at the Seeds of Partnership web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page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: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 </w:t>
      </w:r>
      <w:hyperlink r:id="rId7" w:tgtFrame="_blank" w:history="1">
        <w:r w:rsidRPr="00F257D2">
          <w:rPr>
            <w:rFonts w:ascii="Arial" w:eastAsia="Times New Roman" w:hAnsi="Arial" w:cs="Arial"/>
            <w:color w:val="0563C1"/>
            <w:u w:val="single"/>
            <w:bdr w:val="none" w:sz="0" w:space="0" w:color="auto" w:frame="1"/>
          </w:rPr>
          <w:t>https://www.seedsofpartnership.org/monitoringsurvey/</w:t>
        </w:r>
      </w:hyperlink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.</w:t>
      </w:r>
      <w:r w:rsidRPr="00F257D2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3507AEC8" w14:textId="78DCC5CC" w:rsidR="00F257D2" w:rsidRPr="00F257D2" w:rsidRDefault="00F257D2" w:rsidP="00A3618C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If your LEA is having difficulty reaching the 20% parent survey return rate minimum, the following strategies and ideas 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are provided as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a resource to increase the survey response and return rate:</w:t>
      </w:r>
      <w:r w:rsidRPr="00F257D2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2C90FEB" w14:textId="77777777" w:rsidR="00F257D2" w:rsidRPr="00F257D2" w:rsidRDefault="00F257D2" w:rsidP="00A361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Use Email/text parents a reminder about the survey – including a link to the survey in the message</w:t>
      </w:r>
      <w:r w:rsidRPr="00F257D2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6745501" w14:textId="77777777" w:rsidR="00F257D2" w:rsidRPr="00F257D2" w:rsidRDefault="00F257D2" w:rsidP="00F257D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000000"/>
        </w:rPr>
      </w:pP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Use Robo call or auto dialer phone programs to remind parents to complete the survey (electronically or paper copy)</w:t>
      </w:r>
      <w:r w:rsidRPr="00F257D2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7EDEEC4" w14:textId="77777777" w:rsidR="00F257D2" w:rsidRPr="00F257D2" w:rsidRDefault="00F257D2" w:rsidP="00F257D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000000"/>
        </w:rPr>
      </w:pP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Promote the survey on your district social media, Twitter, or other form of e-communication</w:t>
      </w:r>
      <w:r w:rsidRPr="00F257D2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2DEDB93C" w14:textId="489D257C" w:rsidR="00F257D2" w:rsidRPr="00F257D2" w:rsidRDefault="00F257D2" w:rsidP="00F257D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000000"/>
        </w:rPr>
      </w:pP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Post a link to the survey on the district’s home webpage and encourage parents to complete online. Various language versions are available for online and paper surveys</w:t>
      </w:r>
      <w:r w:rsidRPr="00F257D2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13E7F915" w14:textId="42F15584" w:rsidR="00F257D2" w:rsidRPr="00F257D2" w:rsidRDefault="00F257D2" w:rsidP="00F257D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000000"/>
        </w:rPr>
      </w:pP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Print survey and send home with students or hand out at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Individualized Education Programs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(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IEP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)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or school meetings. Provide parents an envelope to return the survey (ideally to S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eeds of Partnership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, acceptable to the school – who will then mail to S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eeds of Partnership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)</w:t>
      </w:r>
      <w:r w:rsidRPr="00F257D2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454B5CA4" w14:textId="4583399C" w:rsidR="00F257D2" w:rsidRPr="00F257D2" w:rsidRDefault="00F257D2" w:rsidP="00F257D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000000"/>
        </w:rPr>
      </w:pP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Print survey and mail paper copies to parents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. C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onsider including a return envelope, or an addressed return envelope, or even an addressed/postage paid return envelope. Address envelope directly to </w:t>
      </w:r>
      <w:r w:rsidRPr="00F257D2">
        <w:rPr>
          <w:rFonts w:ascii="Arial" w:eastAsia="Times New Roman" w:hAnsi="Arial" w:cs="Arial"/>
          <w:b/>
          <w:bCs/>
          <w:i/>
          <w:iCs/>
          <w:color w:val="201F1E"/>
          <w:bdr w:val="none" w:sz="0" w:space="0" w:color="auto" w:frame="1"/>
        </w:rPr>
        <w:t>Seeds of Partnership</w:t>
      </w:r>
      <w:r w:rsidR="00DA2C4C">
        <w:rPr>
          <w:rFonts w:ascii="Arial" w:eastAsia="Times New Roman" w:hAnsi="Arial" w:cs="Arial"/>
          <w:b/>
          <w:bCs/>
          <w:i/>
          <w:iCs/>
          <w:color w:val="201F1E"/>
          <w:bdr w:val="none" w:sz="0" w:space="0" w:color="auto" w:frame="1"/>
        </w:rPr>
        <w:t>,</w:t>
      </w:r>
      <w:r w:rsidRPr="00F257D2">
        <w:rPr>
          <w:rFonts w:ascii="Arial" w:eastAsia="Times New Roman" w:hAnsi="Arial" w:cs="Arial"/>
          <w:b/>
          <w:bCs/>
          <w:i/>
          <w:iCs/>
          <w:color w:val="201F1E"/>
          <w:bdr w:val="none" w:sz="0" w:space="0" w:color="auto" w:frame="1"/>
        </w:rPr>
        <w:t> </w:t>
      </w:r>
      <w:r w:rsidR="00E13805" w:rsidRPr="00A3618C">
        <w:rPr>
          <w:rFonts w:ascii="Arial" w:hAnsi="Arial" w:cs="Arial"/>
          <w:b/>
          <w:i/>
          <w:color w:val="000000"/>
          <w:szCs w:val="26"/>
        </w:rPr>
        <w:t>P.O. Box 269003, Sacramento, CA 95826-9003</w:t>
      </w:r>
      <w:r w:rsidR="00E13805" w:rsidRPr="00A3618C" w:rsidDel="00E13805">
        <w:rPr>
          <w:rFonts w:ascii="Arial" w:eastAsia="Times New Roman" w:hAnsi="Arial" w:cs="Arial"/>
          <w:b/>
          <w:bCs/>
          <w:i/>
          <w:iCs/>
          <w:color w:val="201F1E"/>
          <w:sz w:val="22"/>
          <w:bdr w:val="none" w:sz="0" w:space="0" w:color="auto" w:frame="1"/>
        </w:rPr>
        <w:t xml:space="preserve"> </w:t>
      </w:r>
    </w:p>
    <w:p w14:paraId="772DDA63" w14:textId="5645F74D" w:rsidR="00F257D2" w:rsidRPr="00F257D2" w:rsidRDefault="00F257D2" w:rsidP="00F257D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000000"/>
        </w:rPr>
      </w:pP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Share parent survey information opportunity with parent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-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related advisory/committee groups (i.e., Community Advisory Committee, P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arent 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T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eacher 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A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ssociations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, other)</w:t>
      </w:r>
      <w:r w:rsidRPr="00F257D2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5EB75C02" w14:textId="2F754CDD" w:rsidR="00F257D2" w:rsidRPr="00F257D2" w:rsidRDefault="00F257D2" w:rsidP="00F257D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</w:pP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>Ask your local/regional parent center to promote the opportunity on their social media or other communication</w:t>
      </w:r>
      <w:r w:rsidRPr="00F257D2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3B51B21C" w14:textId="42E9565C" w:rsidR="00F257D2" w:rsidRDefault="00F257D2" w:rsidP="00F257D2">
      <w:pPr>
        <w:shd w:val="clear" w:color="auto" w:fill="FFFFFF"/>
        <w:spacing w:beforeAutospacing="1" w:afterAutospacing="1"/>
        <w:ind w:left="360"/>
        <w:textAlignment w:val="baseline"/>
      </w:pP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If you have tried several or all the suggested strategies and are still having trouble reaching the minimum 20% return rate by the deadline, please contact </w:t>
      </w:r>
      <w:r w:rsidR="00CF18CE">
        <w:rPr>
          <w:rFonts w:ascii="Arial" w:eastAsia="Times New Roman" w:hAnsi="Arial" w:cs="Arial"/>
          <w:color w:val="201F1E"/>
          <w:bdr w:val="none" w:sz="0" w:space="0" w:color="auto" w:frame="1"/>
        </w:rPr>
        <w:t>your CDE F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ocused Monitoring Technical Assistance (F</w:t>
      </w:r>
      <w:r w:rsidR="00CF18CE">
        <w:rPr>
          <w:rFonts w:ascii="Arial" w:eastAsia="Times New Roman" w:hAnsi="Arial" w:cs="Arial"/>
          <w:color w:val="201F1E"/>
          <w:bdr w:val="none" w:sz="0" w:space="0" w:color="auto" w:frame="1"/>
        </w:rPr>
        <w:t>MTA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)</w:t>
      </w:r>
      <w:r w:rsidR="00CF18CE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</w:t>
      </w:r>
      <w:r w:rsidR="00DA2C4C">
        <w:rPr>
          <w:rFonts w:ascii="Arial" w:eastAsia="Times New Roman" w:hAnsi="Arial" w:cs="Arial"/>
          <w:color w:val="201F1E"/>
          <w:bdr w:val="none" w:sz="0" w:space="0" w:color="auto" w:frame="1"/>
        </w:rPr>
        <w:t>contact</w:t>
      </w:r>
      <w:r w:rsidRPr="00F257D2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to review your LEA’s specific situation.</w:t>
      </w:r>
      <w:r w:rsidRPr="00F257D2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sectPr w:rsidR="00F2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E16D7" w14:textId="77777777" w:rsidR="00D63E50" w:rsidRDefault="00D63E50" w:rsidP="00D63E50">
      <w:r>
        <w:separator/>
      </w:r>
    </w:p>
  </w:endnote>
  <w:endnote w:type="continuationSeparator" w:id="0">
    <w:p w14:paraId="0BEB66E4" w14:textId="77777777" w:rsidR="00D63E50" w:rsidRDefault="00D63E50" w:rsidP="00D6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0D02B" w14:textId="77777777" w:rsidR="00D63E50" w:rsidRDefault="00D63E50" w:rsidP="00D63E50">
      <w:r>
        <w:separator/>
      </w:r>
    </w:p>
  </w:footnote>
  <w:footnote w:type="continuationSeparator" w:id="0">
    <w:p w14:paraId="19F0CBB1" w14:textId="77777777" w:rsidR="00D63E50" w:rsidRDefault="00D63E50" w:rsidP="00D6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06F6"/>
    <w:multiLevelType w:val="multilevel"/>
    <w:tmpl w:val="72B8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D2"/>
    <w:rsid w:val="005C528F"/>
    <w:rsid w:val="00743964"/>
    <w:rsid w:val="00A3618C"/>
    <w:rsid w:val="00A5694F"/>
    <w:rsid w:val="00CB1098"/>
    <w:rsid w:val="00CF18CE"/>
    <w:rsid w:val="00D63E50"/>
    <w:rsid w:val="00DA2C4C"/>
    <w:rsid w:val="00E13805"/>
    <w:rsid w:val="00F2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64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25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257D2"/>
    <w:rPr>
      <w:color w:val="0000FF"/>
      <w:u w:val="single"/>
    </w:rPr>
  </w:style>
  <w:style w:type="character" w:customStyle="1" w:styleId="awjki">
    <w:name w:val="awjki"/>
    <w:basedOn w:val="DefaultParagraphFont"/>
    <w:rsid w:val="00F257D2"/>
  </w:style>
  <w:style w:type="paragraph" w:customStyle="1" w:styleId="xmsonormal">
    <w:name w:val="x_msonormal"/>
    <w:basedOn w:val="Normal"/>
    <w:rsid w:val="00F25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6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E50"/>
  </w:style>
  <w:style w:type="paragraph" w:styleId="Footer">
    <w:name w:val="footer"/>
    <w:basedOn w:val="Normal"/>
    <w:link w:val="FooterChar"/>
    <w:uiPriority w:val="99"/>
    <w:unhideWhenUsed/>
    <w:rsid w:val="00D6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nam04.safelinks.protection.outlook.com/?url=https*3A*2F*2Fwww.seedsofpartnership.org*2Fmonitoringsurvey*2F&amp;data=05*7C01*7Crryan*40scoe.net*7C722d163dc49c47207e6b08da38365bc7*7C25763ba5b7dd459881d511fd6169dd50*7C1*7C0*7C637884103373064547*7CUnknown*7CTWFpbGZsb3d8eyJWIjoiMC4wLjAwMDAiLCJQIjoiV2luMzIiLCJBTiI6Ik1haWwiLCJXVCI6Mn0*3D*7C3000*7C*7C*7C&amp;sdata=Gk2jtNs8M6NQEgPAZnHo*2BITrbYOGOtNs5Xir*2Bspbbks*3D&amp;reserved=0__;JSUlJSUlJSUlJSUlJSUlJSUlJSUlJSU!!KlnUNGHvdQ!77bnyDTC6y8d7JcrptU4frSgXHrl5dOd6uo3iRL2FgHFlAyaxvTjHB_D6qYJ4PJQWi8VaY7irTruJg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A resource for Local Educational Agencies with suggestions to increase survey response rate.</dc:description>
  <cp:lastModifiedBy/>
  <cp:revision>1</cp:revision>
  <dcterms:created xsi:type="dcterms:W3CDTF">2023-01-21T03:21:00Z</dcterms:created>
  <dcterms:modified xsi:type="dcterms:W3CDTF">2023-01-21T03:22:00Z</dcterms:modified>
</cp:coreProperties>
</file>